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8DA8" w14:textId="77777777" w:rsidR="00CA5BF5" w:rsidRDefault="00E151D6" w:rsidP="00CA5BF5">
      <w:pPr>
        <w:pStyle w:val="F2-zkladn"/>
        <w:spacing w:line="276" w:lineRule="auto"/>
        <w:rPr>
          <w:b/>
          <w:sz w:val="28"/>
          <w:szCs w:val="28"/>
        </w:rPr>
      </w:pPr>
      <w:r>
        <w:rPr>
          <w:b/>
          <w:sz w:val="28"/>
          <w:szCs w:val="28"/>
        </w:rPr>
        <w:t>ANALÝZA</w:t>
      </w:r>
    </w:p>
    <w:p w14:paraId="62BCEAB8" w14:textId="631DAE9E"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4C6D56">
        <w:t>1</w:t>
      </w:r>
      <w:r w:rsidR="00487ECF">
        <w:t>5</w:t>
      </w:r>
      <w:r w:rsidR="005420B4" w:rsidRPr="00893890">
        <w:t>.</w:t>
      </w:r>
      <w:r w:rsidR="00296EFF">
        <w:t xml:space="preserve"> </w:t>
      </w:r>
      <w:r w:rsidR="00E01FF7">
        <w:t>čer</w:t>
      </w:r>
      <w:r w:rsidR="004C6D56">
        <w:t>vence</w:t>
      </w:r>
      <w:r w:rsidR="00EB4F26">
        <w:t xml:space="preserve"> </w:t>
      </w:r>
      <w:r w:rsidR="00A30105" w:rsidRPr="00893890">
        <w:t>20</w:t>
      </w:r>
      <w:r w:rsidR="00A7414F" w:rsidRPr="00893890">
        <w:t>2</w:t>
      </w:r>
      <w:r w:rsidR="006E5C5D">
        <w:t>5</w:t>
      </w:r>
    </w:p>
    <w:p w14:paraId="048587CA" w14:textId="0A3930DE" w:rsidR="002027ED" w:rsidRPr="002027ED" w:rsidRDefault="002027ED" w:rsidP="002027ED">
      <w:pPr>
        <w:pStyle w:val="F2-zkladn"/>
        <w:tabs>
          <w:tab w:val="right" w:pos="9070"/>
        </w:tabs>
        <w:spacing w:line="276" w:lineRule="auto"/>
      </w:pPr>
    </w:p>
    <w:p w14:paraId="2FD2086A" w14:textId="6DBF2B1F" w:rsidR="00E01FF7" w:rsidRPr="00E01FF7" w:rsidRDefault="00C74726"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4C6D56">
        <w:rPr>
          <w:rStyle w:val="normaltextrun"/>
          <w:rFonts w:ascii="Arial" w:hAnsi="Arial" w:cs="Arial"/>
          <w:b/>
          <w:bCs/>
          <w:color w:val="000000"/>
          <w:sz w:val="28"/>
          <w:szCs w:val="28"/>
          <w:lang w:val="cs-CZ"/>
        </w:rPr>
        <w:t>Strategické akvizice v oblasti technologií mohou podpořit sílu portfolia</w:t>
      </w:r>
    </w:p>
    <w:p w14:paraId="7479E344" w14:textId="2ACE32AB" w:rsidR="00D8553D" w:rsidRPr="00D8553D" w:rsidRDefault="004C6D56" w:rsidP="00D8553D">
      <w:pPr>
        <w:pStyle w:val="F2-zkladn"/>
        <w:rPr>
          <w:rFonts w:asciiTheme="minorHAnsi" w:hAnsiTheme="minorHAnsi" w:cstheme="minorHAnsi"/>
          <w:b/>
          <w:bCs/>
          <w:sz w:val="24"/>
          <w:szCs w:val="24"/>
        </w:rPr>
      </w:pPr>
      <w:r>
        <w:rPr>
          <w:rFonts w:asciiTheme="minorHAnsi" w:hAnsiTheme="minorHAnsi" w:cstheme="minorHAnsi"/>
          <w:b/>
          <w:bCs/>
          <w:sz w:val="24"/>
          <w:szCs w:val="24"/>
        </w:rPr>
        <w:t xml:space="preserve">Fúze a akvizice </w:t>
      </w:r>
      <w:r w:rsidRPr="004C6D56">
        <w:rPr>
          <w:rFonts w:asciiTheme="minorHAnsi" w:hAnsiTheme="minorHAnsi" w:cstheme="minorHAnsi"/>
          <w:b/>
          <w:bCs/>
          <w:sz w:val="24"/>
          <w:szCs w:val="24"/>
        </w:rPr>
        <w:t>(M&amp;A)</w:t>
      </w:r>
      <w:r>
        <w:rPr>
          <w:rFonts w:asciiTheme="minorHAnsi" w:hAnsiTheme="minorHAnsi" w:cstheme="minorHAnsi"/>
          <w:b/>
          <w:bCs/>
          <w:sz w:val="24"/>
          <w:szCs w:val="24"/>
        </w:rPr>
        <w:t xml:space="preserve"> stále hrají významnou roli při utváření globálního technologického prostředí, což je dáno rychlými inovacemi a dynamikou konkurence. Portfolio manažer </w:t>
      </w:r>
      <w:proofErr w:type="spellStart"/>
      <w:r>
        <w:rPr>
          <w:rFonts w:asciiTheme="minorHAnsi" w:hAnsiTheme="minorHAnsi" w:cstheme="minorHAnsi"/>
          <w:b/>
          <w:bCs/>
          <w:sz w:val="24"/>
          <w:szCs w:val="24"/>
        </w:rPr>
        <w:t>Fidelity</w:t>
      </w:r>
      <w:proofErr w:type="spellEnd"/>
      <w:r>
        <w:rPr>
          <w:rFonts w:asciiTheme="minorHAnsi" w:hAnsiTheme="minorHAnsi" w:cstheme="minorHAnsi"/>
          <w:b/>
          <w:bCs/>
          <w:sz w:val="24"/>
          <w:szCs w:val="24"/>
        </w:rPr>
        <w:t xml:space="preserve"> International </w:t>
      </w:r>
      <w:proofErr w:type="spellStart"/>
      <w:r>
        <w:rPr>
          <w:rFonts w:asciiTheme="minorHAnsi" w:hAnsiTheme="minorHAnsi" w:cstheme="minorHAnsi"/>
          <w:b/>
          <w:bCs/>
          <w:sz w:val="24"/>
          <w:szCs w:val="24"/>
        </w:rPr>
        <w:t>Hyun</w:t>
      </w:r>
      <w:proofErr w:type="spellEnd"/>
      <w:r>
        <w:rPr>
          <w:rFonts w:asciiTheme="minorHAnsi" w:hAnsiTheme="minorHAnsi" w:cstheme="minorHAnsi"/>
          <w:b/>
          <w:bCs/>
          <w:sz w:val="24"/>
          <w:szCs w:val="24"/>
        </w:rPr>
        <w:t xml:space="preserve"> Ho </w:t>
      </w:r>
      <w:proofErr w:type="spellStart"/>
      <w:r>
        <w:rPr>
          <w:rFonts w:asciiTheme="minorHAnsi" w:hAnsiTheme="minorHAnsi" w:cstheme="minorHAnsi"/>
          <w:b/>
          <w:bCs/>
          <w:sz w:val="24"/>
          <w:szCs w:val="24"/>
        </w:rPr>
        <w:t>Sohn</w:t>
      </w:r>
      <w:proofErr w:type="spellEnd"/>
      <w:r>
        <w:rPr>
          <w:rFonts w:asciiTheme="minorHAnsi" w:hAnsiTheme="minorHAnsi" w:cstheme="minorHAnsi"/>
          <w:b/>
          <w:bCs/>
          <w:sz w:val="24"/>
          <w:szCs w:val="24"/>
        </w:rPr>
        <w:t xml:space="preserve"> zkoumá roli fúzí a akvizic v globálním technologickém sektoru. Shrnuje úspěšné akvizice zahrnující portfoliové podíly a klíčové nedávné transakce v oblasti doručování potravin, polovodičů a softwaru. </w:t>
      </w:r>
    </w:p>
    <w:p w14:paraId="673C5343" w14:textId="77777777" w:rsidR="004C6D56" w:rsidRPr="004C6D56" w:rsidRDefault="004C6D56" w:rsidP="004C6D56">
      <w:pPr>
        <w:rPr>
          <w:b/>
          <w:bCs/>
        </w:rPr>
      </w:pPr>
      <w:r w:rsidRPr="004C6D56">
        <w:rPr>
          <w:b/>
          <w:bCs/>
        </w:rPr>
        <w:t>Klíčové body</w:t>
      </w:r>
    </w:p>
    <w:p w14:paraId="105314D9" w14:textId="71C5D166" w:rsidR="004C6D56" w:rsidRPr="004C6D56" w:rsidRDefault="004C6D56" w:rsidP="004C6D56">
      <w:pPr>
        <w:pStyle w:val="Odstavecseseznamem"/>
        <w:numPr>
          <w:ilvl w:val="0"/>
          <w:numId w:val="48"/>
        </w:numPr>
      </w:pPr>
      <w:r w:rsidRPr="004C6D56">
        <w:t>Technologický sektor je z hlediska fúzí a akvizic celosvětově i nadále lídrem trhu, protože společnosti</w:t>
      </w:r>
      <w:r w:rsidR="00C74726">
        <w:t xml:space="preserve"> z této oblasti</w:t>
      </w:r>
      <w:r w:rsidRPr="004C6D56">
        <w:t xml:space="preserve"> se přizpůsobují rychle se měnícím technologiím a zaměřují se na zvyšování vlastních dovedností a podílů na trhu tak, aby získaly přístup k novým příležitostem k zisku.</w:t>
      </w:r>
    </w:p>
    <w:p w14:paraId="5E5384B3" w14:textId="6EA88D9B" w:rsidR="004C6D56" w:rsidRPr="004C6D56" w:rsidRDefault="004C6D56" w:rsidP="004C6D56">
      <w:pPr>
        <w:pStyle w:val="Odstavecseseznamem"/>
        <w:numPr>
          <w:ilvl w:val="0"/>
          <w:numId w:val="48"/>
        </w:numPr>
      </w:pPr>
      <w:r w:rsidRPr="004C6D56">
        <w:t>Sledujeme řadu návrhů na akvizice v odvětvích, jako jsou dodávky potravin, polovodiče a software, s tím, jak se vyvíjí odvětví celkově. Zejména lídři odvětví v segmentech malých a středních firem představují atraktivní příležitosti k akvizicím.</w:t>
      </w:r>
    </w:p>
    <w:p w14:paraId="4516A5E3" w14:textId="30F99A21" w:rsidR="004C6D56" w:rsidRPr="004C6D56" w:rsidRDefault="004C6D56" w:rsidP="004C6D56">
      <w:pPr>
        <w:pStyle w:val="Odstavecseseznamem"/>
        <w:numPr>
          <w:ilvl w:val="0"/>
          <w:numId w:val="48"/>
        </w:numPr>
      </w:pPr>
      <w:r w:rsidRPr="004C6D56">
        <w:t>Navzdory náročnému tržnímu prostředí se očekává, že aktivity v oblasti fúzí a akvizic zůstanou klíčovým aspektem technologického sektoru, který nabízí potenciál růstu pro dlouhodobé investory.</w:t>
      </w:r>
    </w:p>
    <w:p w14:paraId="5B371473" w14:textId="5303BDE3" w:rsidR="00D822F6" w:rsidRPr="004C6D56" w:rsidRDefault="004C6D56" w:rsidP="00D822F6">
      <w:pPr>
        <w:rPr>
          <w:b/>
          <w:bCs/>
        </w:rPr>
      </w:pPr>
      <w:r w:rsidRPr="004C6D56">
        <w:rPr>
          <w:b/>
          <w:bCs/>
        </w:rPr>
        <w:t>FÚZE a AKVIZICE: Strategický bonus pro ty, kdo vybírají akcie zdola nahoru</w:t>
      </w:r>
    </w:p>
    <w:p w14:paraId="4EAA5CA8" w14:textId="77777777" w:rsidR="004C6D56" w:rsidRDefault="004C6D56" w:rsidP="004C6D56">
      <w:r>
        <w:t xml:space="preserve">Technologický sektor je v počtu fúzí a akvizic celosvětově stále na prvním místě, protože společnosti se přizpůsobují rychle se měnícím technologiím a zaměřují se na zvyšování svých schopností a tržního podílu, aby získaly přístup k novým příležitostem k zisku. Ačkoli přístup portfolia manažera </w:t>
      </w:r>
      <w:proofErr w:type="spellStart"/>
      <w:r w:rsidRPr="008344EA">
        <w:t>Hyun</w:t>
      </w:r>
      <w:proofErr w:type="spellEnd"/>
      <w:r w:rsidRPr="008344EA">
        <w:t xml:space="preserve"> Ho </w:t>
      </w:r>
      <w:proofErr w:type="spellStart"/>
      <w:r w:rsidRPr="008344EA">
        <w:t>Sohn</w:t>
      </w:r>
      <w:proofErr w:type="spellEnd"/>
      <w:r>
        <w:t xml:space="preserve"> </w:t>
      </w:r>
      <w:proofErr w:type="spellStart"/>
      <w:r>
        <w:t>Fidelity</w:t>
      </w:r>
      <w:proofErr w:type="spellEnd"/>
      <w:r>
        <w:t xml:space="preserve"> International ke správě fondu klade dlouhodobě důraz na fundamenty zdola nahoru a na faktory specifické pro akcie, fúze a akvizice zůstávají pro portfolio volitelným bonusem a zvyšují výkonnost fondu. To se týká zejména segmentu malých a středně velkých společností. Tyto společnosti často přitahují akviziční zájem větších konkurentů. Ty firmy, co dříve byly na technologickém trhu velikostí malé a střední, se v posledním desetiletí výrazně zvětšily a často představují lídry v rámci segmentů. Tyto společnosti hrají klíčovou roli v technologickém hodnotovém řetězci a mají silný vliv v širším technologickém ekosystému. Disponují významným duševním vlastnictvím (IP) a talentem a mohou se rozvíjet buď samostatně, nebo je mohou získat větší subjekty usilující o přístup k jejich duševnímu vlastnictví.</w:t>
      </w:r>
    </w:p>
    <w:p w14:paraId="1A171D54" w14:textId="4DF94840" w:rsidR="004C6D56" w:rsidRDefault="004C6D56" w:rsidP="004C6D56">
      <w:r w:rsidRPr="00D15244">
        <w:t xml:space="preserve">V průběhu let fond </w:t>
      </w:r>
      <w:r>
        <w:t xml:space="preserve">Fidelity International </w:t>
      </w:r>
      <w:r w:rsidRPr="00D15244">
        <w:t xml:space="preserve">několikrát </w:t>
      </w:r>
      <w:r>
        <w:t xml:space="preserve">zaznamenal </w:t>
      </w:r>
      <w:r w:rsidRPr="00D15244">
        <w:t xml:space="preserve">akvizice, cílové společnosti byly dlouhodobě drženy. To pozitivně přispělo k výkonnosti fondu. Mezi významné příklady patří akvizice společnosti LinkedIn společností Microsoft v roce 2016, akvizice izraelské polovodičové společnosti </w:t>
      </w:r>
      <w:proofErr w:type="spellStart"/>
      <w:r w:rsidRPr="00D15244">
        <w:t>Mellanox</w:t>
      </w:r>
      <w:proofErr w:type="spellEnd"/>
      <w:r w:rsidRPr="00D15244">
        <w:t xml:space="preserve"> Technologies společností </w:t>
      </w:r>
      <w:proofErr w:type="spellStart"/>
      <w:r w:rsidRPr="00D15244">
        <w:t>Nvidia</w:t>
      </w:r>
      <w:proofErr w:type="spellEnd"/>
      <w:r w:rsidRPr="00D15244">
        <w:t xml:space="preserve"> v roce 2019 a akvizice společnosti </w:t>
      </w:r>
      <w:proofErr w:type="spellStart"/>
      <w:r w:rsidRPr="00D15244">
        <w:t>Activision</w:t>
      </w:r>
      <w:proofErr w:type="spellEnd"/>
      <w:r w:rsidRPr="00D15244">
        <w:t xml:space="preserve"> </w:t>
      </w:r>
      <w:proofErr w:type="spellStart"/>
      <w:r w:rsidRPr="00D15244">
        <w:t>Blizzard</w:t>
      </w:r>
      <w:proofErr w:type="spellEnd"/>
      <w:r w:rsidRPr="00D15244">
        <w:t xml:space="preserve"> </w:t>
      </w:r>
      <w:r w:rsidRPr="00D15244">
        <w:lastRenderedPageBreak/>
        <w:t xml:space="preserve">společností Microsoft v roce 2023. Dobrým příkladem je akvizice přední společnosti v oblasti kybernetické bezpečnosti </w:t>
      </w:r>
      <w:proofErr w:type="spellStart"/>
      <w:r w:rsidRPr="00D15244">
        <w:t>Splunk</w:t>
      </w:r>
      <w:proofErr w:type="spellEnd"/>
      <w:r w:rsidRPr="00D15244">
        <w:t xml:space="preserve"> společností Cisco</w:t>
      </w:r>
      <w:r>
        <w:t xml:space="preserve"> v letech</w:t>
      </w:r>
      <w:r w:rsidRPr="00D15244">
        <w:t xml:space="preserve"> 2023/2024, kdy se první jmenovaná společnost snažila prostřednictvím akvizic posílit svou zaostávající nabídku v oblasti bezpečnosti. Tato investiční rozhodnutí jsou </w:t>
      </w:r>
      <w:r>
        <w:t>podporována zkušenostmi</w:t>
      </w:r>
      <w:r w:rsidRPr="00D15244">
        <w:t xml:space="preserve"> analytického týmu společnosti Fidelity </w:t>
      </w:r>
      <w:r>
        <w:t>i tím, jaké segmenty</w:t>
      </w:r>
      <w:r w:rsidRPr="00D15244">
        <w:t xml:space="preserve"> pokr</w:t>
      </w:r>
      <w:r>
        <w:t>ýváme</w:t>
      </w:r>
      <w:r w:rsidRPr="00D15244">
        <w:t xml:space="preserve">, </w:t>
      </w:r>
      <w:r>
        <w:t>což nám</w:t>
      </w:r>
      <w:r w:rsidRPr="00D15244">
        <w:t xml:space="preserve"> umožňuje včas identifikovat jedinečné investiční příležitosti.</w:t>
      </w:r>
    </w:p>
    <w:p w14:paraId="20B6D181" w14:textId="031F0510" w:rsidR="002772D7" w:rsidRDefault="002772D7" w:rsidP="002772D7">
      <w:r>
        <w:t>Povzbudivé je, že aktivity v oblasti fúzí a akvizic pokračovaly i v roce 2025 navzdory náročnému tržnímu prostředí, které se vyznačuje geopolitickou a regulační nejistotou. Pozorujeme řadu návrhů na akvizice v odvětvích, jako jsou dodávky potravin, polovodiče a software, protože se vyvíjí celková struktura odvětví. Předpokládám, že tento trend bude i nadále posilovat výnosy fondu v dlouhodobém horizontu.</w:t>
      </w:r>
    </w:p>
    <w:p w14:paraId="0ED38866" w14:textId="4E3DBCAC" w:rsidR="00D822F6" w:rsidRDefault="002772D7" w:rsidP="00D822F6">
      <w:pPr>
        <w:rPr>
          <w:b/>
          <w:bCs/>
        </w:rPr>
      </w:pPr>
      <w:r w:rsidRPr="002772D7">
        <w:rPr>
          <w:noProof/>
        </w:rPr>
        <w:drawing>
          <wp:anchor distT="0" distB="0" distL="114300" distR="114300" simplePos="0" relativeHeight="251658240" behindDoc="0" locked="0" layoutInCell="1" allowOverlap="1" wp14:anchorId="7E1F5EE2" wp14:editId="7CCF5A81">
            <wp:simplePos x="0" y="0"/>
            <wp:positionH relativeFrom="column">
              <wp:posOffset>-1270</wp:posOffset>
            </wp:positionH>
            <wp:positionV relativeFrom="paragraph">
              <wp:posOffset>426720</wp:posOffset>
            </wp:positionV>
            <wp:extent cx="5759450" cy="1761490"/>
            <wp:effectExtent l="0" t="0" r="0" b="0"/>
            <wp:wrapTopAndBottom/>
            <wp:docPr id="2591857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5720"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1761490"/>
                    </a:xfrm>
                    <a:prstGeom prst="rect">
                      <a:avLst/>
                    </a:prstGeom>
                  </pic:spPr>
                </pic:pic>
              </a:graphicData>
            </a:graphic>
          </wp:anchor>
        </w:drawing>
      </w:r>
      <w:r>
        <w:rPr>
          <w:b/>
          <w:bCs/>
        </w:rPr>
        <w:t>Trvalá dynamika fúzí a akvizic napříč odvětvími v roce 2025</w:t>
      </w:r>
    </w:p>
    <w:p w14:paraId="74E28C05" w14:textId="77777777" w:rsidR="002772D7" w:rsidRPr="002772D7" w:rsidRDefault="002772D7" w:rsidP="002772D7">
      <w:pPr>
        <w:rPr>
          <w:i/>
          <w:iCs/>
          <w:sz w:val="18"/>
          <w:szCs w:val="18"/>
        </w:rPr>
      </w:pPr>
      <w:r w:rsidRPr="002772D7">
        <w:rPr>
          <w:i/>
          <w:iCs/>
          <w:sz w:val="18"/>
          <w:szCs w:val="18"/>
        </w:rPr>
        <w:t>Odkaz na konkrétní cenné papíry nelze vykládat jako doporučení k nákupu nebo prodeji těchto cenných papírů a je uveden pouze pro ilustraci.</w:t>
      </w:r>
    </w:p>
    <w:p w14:paraId="58002C18" w14:textId="142B9BF6" w:rsidR="002772D7" w:rsidRPr="002772D7" w:rsidRDefault="002772D7" w:rsidP="002772D7">
      <w:pPr>
        <w:rPr>
          <w:i/>
          <w:iCs/>
          <w:sz w:val="18"/>
          <w:szCs w:val="18"/>
        </w:rPr>
      </w:pPr>
      <w:r w:rsidRPr="002772D7">
        <w:rPr>
          <w:i/>
          <w:iCs/>
          <w:sz w:val="18"/>
          <w:szCs w:val="18"/>
        </w:rPr>
        <w:t xml:space="preserve">Zdroj: Zprávy společnosti, Fidelity International. *Všechny obchody byly přijaty, ale čekají na dokončení a podléhají schválení regulačních orgánů. ** Akvizice společnosti </w:t>
      </w:r>
      <w:proofErr w:type="spellStart"/>
      <w:r w:rsidRPr="002772D7">
        <w:rPr>
          <w:i/>
          <w:iCs/>
          <w:sz w:val="18"/>
          <w:szCs w:val="18"/>
        </w:rPr>
        <w:t>Ansys</w:t>
      </w:r>
      <w:proofErr w:type="spellEnd"/>
      <w:r w:rsidRPr="002772D7">
        <w:rPr>
          <w:i/>
          <w:iCs/>
          <w:sz w:val="18"/>
          <w:szCs w:val="18"/>
        </w:rPr>
        <w:t xml:space="preserve"> společností </w:t>
      </w:r>
      <w:proofErr w:type="spellStart"/>
      <w:r w:rsidRPr="002772D7">
        <w:rPr>
          <w:i/>
          <w:iCs/>
          <w:sz w:val="18"/>
          <w:szCs w:val="18"/>
        </w:rPr>
        <w:t>Synopsys</w:t>
      </w:r>
      <w:proofErr w:type="spellEnd"/>
      <w:r w:rsidRPr="002772D7">
        <w:rPr>
          <w:i/>
          <w:iCs/>
          <w:sz w:val="18"/>
          <w:szCs w:val="18"/>
        </w:rPr>
        <w:t xml:space="preserve"> byla oznámena v roce 2024 a čeká na schválení regulačních orgánů s pravděpodobným dokončením v roce 2025.</w:t>
      </w:r>
    </w:p>
    <w:p w14:paraId="642458D7" w14:textId="40EDD335" w:rsidR="00D822F6" w:rsidRPr="00004D29" w:rsidRDefault="002772D7" w:rsidP="00D822F6">
      <w:pPr>
        <w:rPr>
          <w:b/>
          <w:bCs/>
        </w:rPr>
      </w:pPr>
      <w:r>
        <w:rPr>
          <w:b/>
          <w:bCs/>
        </w:rPr>
        <w:t>Doručování potravin</w:t>
      </w:r>
    </w:p>
    <w:p w14:paraId="07B9E43A" w14:textId="2C52AD5C" w:rsidR="002772D7" w:rsidRDefault="002772D7" w:rsidP="002772D7">
      <w:r>
        <w:t xml:space="preserve">V oblasti dodávek potravin se konsolidace a racionalizace odvětví nadále zrychluje, protože tvrdá konkurence nutí přední hráče soupeřit o rozsah a postavení na trhu a zároveň se snaží vstoupit do nových regionů prostřednictvím strategických akvizic. V letošním roce jsme byli svědky dvou významných transakcí, kdy společnosti </w:t>
      </w:r>
      <w:proofErr w:type="spellStart"/>
      <w:r>
        <w:t>JustEat</w:t>
      </w:r>
      <w:proofErr w:type="spellEnd"/>
      <w:r>
        <w:t xml:space="preserve"> </w:t>
      </w:r>
      <w:proofErr w:type="spellStart"/>
      <w:r>
        <w:t>Takeaway</w:t>
      </w:r>
      <w:proofErr w:type="spellEnd"/>
      <w:r>
        <w:t xml:space="preserve"> a </w:t>
      </w:r>
      <w:proofErr w:type="spellStart"/>
      <w:r>
        <w:t>Deliveroo</w:t>
      </w:r>
      <w:proofErr w:type="spellEnd"/>
      <w:r>
        <w:t xml:space="preserve"> získaly společnosti </w:t>
      </w:r>
      <w:proofErr w:type="spellStart"/>
      <w:r>
        <w:t>Prosus</w:t>
      </w:r>
      <w:proofErr w:type="spellEnd"/>
      <w:r>
        <w:t xml:space="preserve">, respektive </w:t>
      </w:r>
      <w:proofErr w:type="spellStart"/>
      <w:r>
        <w:t>DoorDash</w:t>
      </w:r>
      <w:proofErr w:type="spellEnd"/>
      <w:r>
        <w:t xml:space="preserve">. Společnost </w:t>
      </w:r>
      <w:proofErr w:type="spellStart"/>
      <w:r>
        <w:t>Prosus</w:t>
      </w:r>
      <w:proofErr w:type="spellEnd"/>
      <w:r>
        <w:t xml:space="preserve"> chce prostřednictvím </w:t>
      </w:r>
      <w:proofErr w:type="spellStart"/>
      <w:r>
        <w:t>JustEat</w:t>
      </w:r>
      <w:proofErr w:type="spellEnd"/>
      <w:r>
        <w:t xml:space="preserve"> rozšířit svou přítomnost ve Velké Británii a Evropě, zatímco akvizice </w:t>
      </w:r>
      <w:proofErr w:type="spellStart"/>
      <w:r>
        <w:t>Deliveroo</w:t>
      </w:r>
      <w:proofErr w:type="spellEnd"/>
      <w:r>
        <w:t xml:space="preserve"> společnosti </w:t>
      </w:r>
      <w:proofErr w:type="spellStart"/>
      <w:r>
        <w:t>DoorDash</w:t>
      </w:r>
      <w:proofErr w:type="spellEnd"/>
      <w:r>
        <w:t xml:space="preserve"> nabízí okamžitý přístup na devět nových trhů, včetně Velké Británie, Francie a Spojených arabských emirátů, kde má v současné době omezenou přítomnost.</w:t>
      </w:r>
    </w:p>
    <w:p w14:paraId="2ED382F7" w14:textId="77777777" w:rsidR="002772D7" w:rsidRDefault="002772D7" w:rsidP="00D822F6">
      <w:pPr>
        <w:rPr>
          <w:b/>
          <w:bCs/>
        </w:rPr>
      </w:pPr>
      <w:r>
        <w:rPr>
          <w:b/>
          <w:bCs/>
        </w:rPr>
        <w:t>Polovodiče: Strategické akvizice v oblasti duševního vlastnictví</w:t>
      </w:r>
    </w:p>
    <w:p w14:paraId="4941CE6E" w14:textId="77777777" w:rsidR="002772D7" w:rsidRDefault="002772D7" w:rsidP="002772D7">
      <w:r w:rsidRPr="00E46EC1">
        <w:t xml:space="preserve">Softwarové společnosti jsou i nadále atraktivním cílem akvizic. Přední cloudová platforma pro řízení vztahů se zákazníky (CRM) </w:t>
      </w:r>
      <w:proofErr w:type="spellStart"/>
      <w:r w:rsidRPr="00E46EC1">
        <w:t>Salesforce</w:t>
      </w:r>
      <w:proofErr w:type="spellEnd"/>
      <w:r w:rsidRPr="00E46EC1">
        <w:t xml:space="preserve"> koupila společnost </w:t>
      </w:r>
      <w:proofErr w:type="spellStart"/>
      <w:r w:rsidRPr="00E46EC1">
        <w:t>Informatica</w:t>
      </w:r>
      <w:proofErr w:type="spellEnd"/>
      <w:r w:rsidRPr="00E46EC1">
        <w:t xml:space="preserve">. Ta se po nedávném úspěchu svých datových cloudových produktů chce zaměřit na software související s daty. Společnost </w:t>
      </w:r>
      <w:proofErr w:type="spellStart"/>
      <w:r w:rsidRPr="00E46EC1">
        <w:t>Informatica</w:t>
      </w:r>
      <w:proofErr w:type="spellEnd"/>
      <w:r w:rsidRPr="00E46EC1">
        <w:t xml:space="preserve"> se specializuje na produkty pro integraci dat, správu dat a jejich rozšiřování, především pro datovou analýzu a reporting pro podnikové zákazníky. Akvizice společnosti </w:t>
      </w:r>
      <w:proofErr w:type="spellStart"/>
      <w:r w:rsidRPr="00E46EC1">
        <w:t>Informatica</w:t>
      </w:r>
      <w:proofErr w:type="spellEnd"/>
      <w:r w:rsidRPr="00E46EC1">
        <w:t xml:space="preserve"> společností </w:t>
      </w:r>
      <w:proofErr w:type="spellStart"/>
      <w:r w:rsidRPr="00E46EC1">
        <w:lastRenderedPageBreak/>
        <w:t>Salesforce</w:t>
      </w:r>
      <w:proofErr w:type="spellEnd"/>
      <w:r w:rsidRPr="00E46EC1">
        <w:t xml:space="preserve"> rozšíří její nabídku datového cloudu o přístup k datům uloženým v různých podnikových systémech, což v konečném důsledku posílí její možnosti v oblasti umělé inteligence. Chystaná akvizice společnosti </w:t>
      </w:r>
      <w:proofErr w:type="spellStart"/>
      <w:r w:rsidRPr="00E46EC1">
        <w:t>Ansys</w:t>
      </w:r>
      <w:proofErr w:type="spellEnd"/>
      <w:r w:rsidRPr="00E46EC1">
        <w:t xml:space="preserve"> společností </w:t>
      </w:r>
      <w:proofErr w:type="spellStart"/>
      <w:r w:rsidRPr="00E46EC1">
        <w:t>Synopsys</w:t>
      </w:r>
      <w:proofErr w:type="spellEnd"/>
      <w:r w:rsidRPr="00E46EC1">
        <w:t xml:space="preserve">, která byla oznámena v loňském roce, je dalším příkladem akvizice, která se snaží posílit svou dominantní pozici na trhu. Společnost </w:t>
      </w:r>
      <w:proofErr w:type="spellStart"/>
      <w:r w:rsidRPr="00E46EC1">
        <w:t>Synopsys</w:t>
      </w:r>
      <w:proofErr w:type="spellEnd"/>
      <w:r w:rsidRPr="00E46EC1">
        <w:t xml:space="preserve"> je lídrem v oblasti softwaru pro automatizaci elektronického návrhu (EDA), který inženýři používají k návrhu čipů, zatímco </w:t>
      </w:r>
      <w:proofErr w:type="spellStart"/>
      <w:r w:rsidRPr="00E46EC1">
        <w:t>Ansys</w:t>
      </w:r>
      <w:proofErr w:type="spellEnd"/>
      <w:r w:rsidRPr="00E46EC1">
        <w:t xml:space="preserve"> se specializuje na software pro inženýrské simulace. Obě společnosti mají vzájemně se doplňující produktová portfolia a </w:t>
      </w:r>
      <w:proofErr w:type="spellStart"/>
      <w:r w:rsidRPr="00E46EC1">
        <w:t>Synopsys</w:t>
      </w:r>
      <w:proofErr w:type="spellEnd"/>
      <w:r w:rsidRPr="00E46EC1">
        <w:t xml:space="preserve"> chce touto akvizicí rozšířit trh</w:t>
      </w:r>
      <w:r>
        <w:t xml:space="preserve"> jaký může oslovit</w:t>
      </w:r>
      <w:r w:rsidRPr="00E46EC1">
        <w:t xml:space="preserve"> </w:t>
      </w:r>
      <w:r>
        <w:t>z</w:t>
      </w:r>
      <w:r w:rsidRPr="00E46EC1">
        <w:t xml:space="preserve"> oblasti polovodičů a využít tak mega trendů v oboru, jako je rostoucí složitost polovodičů a elektronických systémů.</w:t>
      </w:r>
    </w:p>
    <w:p w14:paraId="19EB530B" w14:textId="77777777" w:rsidR="002772D7" w:rsidRPr="008344EA" w:rsidRDefault="002772D7" w:rsidP="002772D7">
      <w:r w:rsidRPr="00F932EA">
        <w:t>Do budoucna očekávám, že fúze a akvizice zůstanou nedílnou součástí technologického sektoru</w:t>
      </w:r>
      <w:r>
        <w:t>. S</w:t>
      </w:r>
      <w:r w:rsidRPr="00F932EA">
        <w:t>polečnosti se snaží posílit svou strategickou pozici</w:t>
      </w:r>
      <w:r>
        <w:t xml:space="preserve">, protože </w:t>
      </w:r>
      <w:r w:rsidRPr="00F932EA">
        <w:t>se zlepšuj</w:t>
      </w:r>
      <w:r>
        <w:t>e</w:t>
      </w:r>
      <w:r w:rsidRPr="00F932EA">
        <w:t xml:space="preserve"> </w:t>
      </w:r>
      <w:r>
        <w:t>i</w:t>
      </w:r>
      <w:r w:rsidRPr="00F932EA">
        <w:t xml:space="preserve"> struktur</w:t>
      </w:r>
      <w:r>
        <w:t>a</w:t>
      </w:r>
      <w:r w:rsidRPr="00F932EA">
        <w:t xml:space="preserve"> odvětví, </w:t>
      </w:r>
      <w:r>
        <w:t xml:space="preserve">zrychlují se </w:t>
      </w:r>
      <w:r w:rsidRPr="00F932EA">
        <w:t>inovace</w:t>
      </w:r>
      <w:r>
        <w:t xml:space="preserve"> </w:t>
      </w:r>
      <w:r w:rsidRPr="00F932EA">
        <w:t>a vyvíjejí se potřeb</w:t>
      </w:r>
      <w:r>
        <w:t xml:space="preserve">y </w:t>
      </w:r>
      <w:r w:rsidRPr="00F932EA">
        <w:t>konkurence. Ačkoli tento vývoj není hlavním faktorem investičních rozhodnutí, může sloužit jako významný zdroj růstu pro dlouhodobé investory. Fond má i nadále dobrou pozici díky expozici vůči silným podnikům s pevnými základy, z nichž mnohé jsou také atraktivními akvizičními cíli v</w:t>
      </w:r>
      <w:r>
        <w:t xml:space="preserve"> oblasti</w:t>
      </w:r>
      <w:r w:rsidRPr="00F932EA">
        <w:t xml:space="preserve"> segmentu středních a malých firem. Nadále se zaměřuji na identifikaci dlouhodobých vítězů, přičemž fúze a akvizice nabízejí další páku pro tvorbu hodnoty.</w:t>
      </w:r>
    </w:p>
    <w:p w14:paraId="2DA84515" w14:textId="77777777" w:rsidR="00E01FF7" w:rsidRDefault="00E01FF7" w:rsidP="00E01FF7">
      <w:pPr>
        <w:rPr>
          <w:b/>
          <w:bCs/>
        </w:rPr>
      </w:pPr>
    </w:p>
    <w:p w14:paraId="79C0EF45" w14:textId="77777777" w:rsidR="00B14448" w:rsidRDefault="006F508D" w:rsidP="002027ED">
      <w:pPr>
        <w:spacing w:before="0" w:line="240" w:lineRule="atLeast"/>
        <w:rPr>
          <w:b/>
        </w:rPr>
      </w:pPr>
      <w:r w:rsidRPr="00455A3C">
        <w:rPr>
          <w:b/>
        </w:rPr>
        <w:t>Pro více informací kontaktujte:</w:t>
      </w:r>
    </w:p>
    <w:p w14:paraId="57E4691D" w14:textId="79A81523" w:rsidR="00725052" w:rsidRDefault="00725052" w:rsidP="002027ED">
      <w:pPr>
        <w:spacing w:before="0" w:line="240" w:lineRule="atLeast"/>
        <w:rPr>
          <w:b/>
        </w:rPr>
      </w:pPr>
      <w:r>
        <w:rPr>
          <w:b/>
        </w:rPr>
        <w:t>Eliška Krohová</w:t>
      </w:r>
    </w:p>
    <w:p w14:paraId="70A16562" w14:textId="14B99F34" w:rsidR="00725052" w:rsidRPr="00455A3C" w:rsidRDefault="00725052" w:rsidP="002027ED">
      <w:pPr>
        <w:spacing w:before="0" w:line="240" w:lineRule="atLeast"/>
        <w:rPr>
          <w:b/>
          <w:bCs/>
        </w:rPr>
      </w:pPr>
      <w:r w:rsidRPr="00455A3C">
        <w:rPr>
          <w:b/>
          <w:bCs/>
        </w:rPr>
        <w:t>Crest Communications, a.s.</w:t>
      </w:r>
    </w:p>
    <w:p w14:paraId="7ABB575C" w14:textId="41FADA76" w:rsidR="00725052" w:rsidRPr="00455A3C" w:rsidRDefault="00725052" w:rsidP="002027ED">
      <w:pPr>
        <w:spacing w:before="0" w:line="240" w:lineRule="atLeast"/>
      </w:pPr>
    </w:p>
    <w:p w14:paraId="001360E2" w14:textId="430BBD89" w:rsidR="00725052" w:rsidRPr="00455A3C" w:rsidRDefault="00725052" w:rsidP="002027ED">
      <w:pPr>
        <w:spacing w:before="0" w:line="240" w:lineRule="atLeast"/>
      </w:pPr>
      <w:r w:rsidRPr="00455A3C">
        <w:t>Ostrovní 126/30</w:t>
      </w:r>
    </w:p>
    <w:p w14:paraId="02786658" w14:textId="0E6E6510" w:rsidR="00725052" w:rsidRPr="00455A3C" w:rsidRDefault="00725052" w:rsidP="002027ED">
      <w:pPr>
        <w:spacing w:before="0" w:line="240" w:lineRule="atLeast"/>
      </w:pPr>
      <w:r w:rsidRPr="00455A3C">
        <w:t>110 00 Praha 1</w:t>
      </w:r>
    </w:p>
    <w:p w14:paraId="5FFADFD6" w14:textId="77777777" w:rsidR="00725052" w:rsidRPr="00455A3C" w:rsidRDefault="00725052" w:rsidP="002027ED">
      <w:pPr>
        <w:spacing w:before="0" w:line="240" w:lineRule="atLeast"/>
      </w:pPr>
      <w:proofErr w:type="spellStart"/>
      <w:r>
        <w:t>gsm</w:t>
      </w:r>
      <w:proofErr w:type="spellEnd"/>
      <w:r>
        <w:t>: + 420 720 406 659</w:t>
      </w:r>
    </w:p>
    <w:p w14:paraId="366A0022" w14:textId="77777777" w:rsidR="000E2910" w:rsidRDefault="00725052" w:rsidP="002027ED">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1B93F57D" w14:textId="77777777" w:rsidR="005A5AB1" w:rsidRPr="005A5AB1" w:rsidRDefault="005A5AB1" w:rsidP="002027ED">
      <w:pPr>
        <w:pStyle w:val="F2-zkladn"/>
      </w:pPr>
    </w:p>
    <w:p w14:paraId="163D8DC9"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52751589" w14:textId="77777777" w:rsidR="006E78BA" w:rsidRPr="0015633B" w:rsidRDefault="00D404D5" w:rsidP="0015633B">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70C8077A" w14:textId="77777777" w:rsidR="006E78BA" w:rsidRPr="006E78BA" w:rsidRDefault="006E78BA" w:rsidP="006E78BA">
      <w:pPr>
        <w:pStyle w:val="F2-zkladn"/>
        <w:rPr>
          <w:lang w:eastAsia="en-US"/>
        </w:rPr>
      </w:pPr>
    </w:p>
    <w:p w14:paraId="44D3C3F0" w14:textId="77777777" w:rsidR="00424771" w:rsidRPr="00424771" w:rsidRDefault="00424771" w:rsidP="002027ED">
      <w:pPr>
        <w:pStyle w:val="F2-zkladn"/>
        <w:rPr>
          <w:b/>
          <w:bCs/>
        </w:rPr>
      </w:pPr>
      <w:r w:rsidRPr="00424771">
        <w:rPr>
          <w:b/>
          <w:bCs/>
        </w:rPr>
        <w:lastRenderedPageBreak/>
        <w:t>Důležité upozornění</w:t>
      </w:r>
    </w:p>
    <w:p w14:paraId="0B10A854" w14:textId="77777777" w:rsidR="00424771" w:rsidRDefault="00424771" w:rsidP="002027ED">
      <w:pPr>
        <w:pStyle w:val="F2-zkladn"/>
      </w:pPr>
      <w:r>
        <w:t>Toto je propagační materiál. Tento dokument nesmí být bez předchozího souhlasu rozmnožován nebo rozšiřován.</w:t>
      </w:r>
    </w:p>
    <w:p w14:paraId="191665B3"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0B484CF0"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FBC3C8C"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36BAAE4"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487B32F"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14F2016C" w14:textId="77777777" w:rsidR="00424771" w:rsidRDefault="00424771" w:rsidP="002027ED">
      <w:pPr>
        <w:pStyle w:val="F2-zkladn"/>
      </w:pPr>
      <w:r>
        <w:t>Minulá výkonnost není spolehlivým ukazatelem budoucích výsledků.</w:t>
      </w:r>
    </w:p>
    <w:p w14:paraId="232D3CB7"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197EFFF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382E6526"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w:t>
      </w:r>
      <w:r>
        <w:lastRenderedPageBreak/>
        <w:t xml:space="preserve">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66EB220B"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1010ED4C" w14:textId="4D187DF0" w:rsidR="00D20058" w:rsidRDefault="00487ECF" w:rsidP="00154229">
      <w:pPr>
        <w:pStyle w:val="F2-zkladn"/>
      </w:pPr>
      <w:r w:rsidRPr="00487ECF">
        <w:rPr>
          <w:lang w:val="de-AT"/>
        </w:rPr>
        <w:t>MKAT13111</w:t>
      </w:r>
    </w:p>
    <w:sectPr w:rsidR="00D20058" w:rsidSect="00F50497">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505A" w14:textId="77777777" w:rsidR="00C00003" w:rsidRDefault="00C00003">
      <w:r>
        <w:separator/>
      </w:r>
    </w:p>
  </w:endnote>
  <w:endnote w:type="continuationSeparator" w:id="0">
    <w:p w14:paraId="65A8A066" w14:textId="77777777" w:rsidR="00C00003" w:rsidRDefault="00C0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FC23"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FD6D" w14:textId="77777777" w:rsidR="00C00003" w:rsidRDefault="00C00003">
      <w:r>
        <w:separator/>
      </w:r>
    </w:p>
  </w:footnote>
  <w:footnote w:type="continuationSeparator" w:id="0">
    <w:p w14:paraId="4EA11AB2" w14:textId="77777777" w:rsidR="00C00003" w:rsidRDefault="00C00003">
      <w:r>
        <w:continuationSeparator/>
      </w:r>
    </w:p>
  </w:footnote>
  <w:footnote w:type="continuationNotice" w:id="1">
    <w:p w14:paraId="692EDD1C" w14:textId="77777777" w:rsidR="00C00003" w:rsidRDefault="00C00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985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E33B" w14:textId="77777777" w:rsidR="001D1343" w:rsidRDefault="0018797C">
    <w:pPr>
      <w:pStyle w:val="Zhlav"/>
    </w:pPr>
    <w:r>
      <w:rPr>
        <w:noProof/>
      </w:rPr>
      <w:drawing>
        <wp:anchor distT="0" distB="0" distL="114300" distR="114300" simplePos="0" relativeHeight="251657728" behindDoc="0" locked="0" layoutInCell="1" allowOverlap="1" wp14:anchorId="72926C4F" wp14:editId="7652070F">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CA704D5" w14:textId="77777777" w:rsidR="001D1343" w:rsidRDefault="001D1343">
    <w:pPr>
      <w:pStyle w:val="Zhlav"/>
    </w:pPr>
  </w:p>
  <w:p w14:paraId="3E713446"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7"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3033605">
    <w:abstractNumId w:val="18"/>
  </w:num>
  <w:num w:numId="2" w16cid:durableId="146671352">
    <w:abstractNumId w:val="36"/>
  </w:num>
  <w:num w:numId="3" w16cid:durableId="1266381172">
    <w:abstractNumId w:val="43"/>
  </w:num>
  <w:num w:numId="4" w16cid:durableId="1719279861">
    <w:abstractNumId w:val="24"/>
  </w:num>
  <w:num w:numId="5" w16cid:durableId="118620334">
    <w:abstractNumId w:val="26"/>
  </w:num>
  <w:num w:numId="6" w16cid:durableId="1824814676">
    <w:abstractNumId w:val="22"/>
  </w:num>
  <w:num w:numId="7" w16cid:durableId="1926299718">
    <w:abstractNumId w:val="41"/>
  </w:num>
  <w:num w:numId="8" w16cid:durableId="1498184102">
    <w:abstractNumId w:val="29"/>
  </w:num>
  <w:num w:numId="9" w16cid:durableId="1449929593">
    <w:abstractNumId w:val="8"/>
  </w:num>
  <w:num w:numId="10" w16cid:durableId="773866738">
    <w:abstractNumId w:val="3"/>
  </w:num>
  <w:num w:numId="11" w16cid:durableId="2086536223">
    <w:abstractNumId w:val="2"/>
  </w:num>
  <w:num w:numId="12" w16cid:durableId="318927783">
    <w:abstractNumId w:val="1"/>
  </w:num>
  <w:num w:numId="13" w16cid:durableId="1092429139">
    <w:abstractNumId w:val="0"/>
  </w:num>
  <w:num w:numId="14" w16cid:durableId="1555390236">
    <w:abstractNumId w:val="11"/>
  </w:num>
  <w:num w:numId="15" w16cid:durableId="422386552">
    <w:abstractNumId w:val="9"/>
  </w:num>
  <w:num w:numId="16" w16cid:durableId="167907336">
    <w:abstractNumId w:val="7"/>
  </w:num>
  <w:num w:numId="17" w16cid:durableId="1887527175">
    <w:abstractNumId w:val="6"/>
  </w:num>
  <w:num w:numId="18" w16cid:durableId="2091191755">
    <w:abstractNumId w:val="5"/>
  </w:num>
  <w:num w:numId="19" w16cid:durableId="626397989">
    <w:abstractNumId w:val="4"/>
  </w:num>
  <w:num w:numId="20" w16cid:durableId="803893251">
    <w:abstractNumId w:val="16"/>
  </w:num>
  <w:num w:numId="21" w16cid:durableId="1100370002">
    <w:abstractNumId w:val="34"/>
  </w:num>
  <w:num w:numId="22" w16cid:durableId="2069836537">
    <w:abstractNumId w:val="13"/>
  </w:num>
  <w:num w:numId="23" w16cid:durableId="1663701074">
    <w:abstractNumId w:val="10"/>
  </w:num>
  <w:num w:numId="24" w16cid:durableId="661811107">
    <w:abstractNumId w:val="14"/>
  </w:num>
  <w:num w:numId="25" w16cid:durableId="367528897">
    <w:abstractNumId w:val="20"/>
  </w:num>
  <w:num w:numId="26" w16cid:durableId="66655553">
    <w:abstractNumId w:val="40"/>
  </w:num>
  <w:num w:numId="27" w16cid:durableId="1412049229">
    <w:abstractNumId w:val="32"/>
  </w:num>
  <w:num w:numId="28" w16cid:durableId="1854563770">
    <w:abstractNumId w:val="21"/>
  </w:num>
  <w:num w:numId="29" w16cid:durableId="1511022718">
    <w:abstractNumId w:val="23"/>
  </w:num>
  <w:num w:numId="30" w16cid:durableId="189878341">
    <w:abstractNumId w:val="25"/>
  </w:num>
  <w:num w:numId="31" w16cid:durableId="408891146">
    <w:abstractNumId w:val="35"/>
  </w:num>
  <w:num w:numId="32" w16cid:durableId="668292118">
    <w:abstractNumId w:val="44"/>
  </w:num>
  <w:num w:numId="33" w16cid:durableId="1545678938">
    <w:abstractNumId w:val="31"/>
  </w:num>
  <w:num w:numId="34" w16cid:durableId="334190881">
    <w:abstractNumId w:val="42"/>
  </w:num>
  <w:num w:numId="35" w16cid:durableId="867832294">
    <w:abstractNumId w:val="46"/>
  </w:num>
  <w:num w:numId="36" w16cid:durableId="1707019958">
    <w:abstractNumId w:val="15"/>
  </w:num>
  <w:num w:numId="37" w16cid:durableId="1229464119">
    <w:abstractNumId w:val="39"/>
  </w:num>
  <w:num w:numId="38" w16cid:durableId="1404453976">
    <w:abstractNumId w:val="17"/>
  </w:num>
  <w:num w:numId="39" w16cid:durableId="639572714">
    <w:abstractNumId w:val="30"/>
  </w:num>
  <w:num w:numId="40" w16cid:durableId="1181239656">
    <w:abstractNumId w:val="37"/>
  </w:num>
  <w:num w:numId="41" w16cid:durableId="1776094729">
    <w:abstractNumId w:val="45"/>
  </w:num>
  <w:num w:numId="42" w16cid:durableId="58788658">
    <w:abstractNumId w:val="28"/>
  </w:num>
  <w:num w:numId="43" w16cid:durableId="1389382411">
    <w:abstractNumId w:val="38"/>
  </w:num>
  <w:num w:numId="44" w16cid:durableId="608975387">
    <w:abstractNumId w:val="19"/>
  </w:num>
  <w:num w:numId="45" w16cid:durableId="77678656">
    <w:abstractNumId w:val="47"/>
  </w:num>
  <w:num w:numId="46" w16cid:durableId="1988851537">
    <w:abstractNumId w:val="27"/>
  </w:num>
  <w:num w:numId="47" w16cid:durableId="847792887">
    <w:abstractNumId w:val="33"/>
  </w:num>
  <w:num w:numId="48" w16cid:durableId="184543985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B0302"/>
    <w:rsid w:val="001B05F4"/>
    <w:rsid w:val="001B19BC"/>
    <w:rsid w:val="001B1BBD"/>
    <w:rsid w:val="001B23C8"/>
    <w:rsid w:val="001B2BE9"/>
    <w:rsid w:val="001B306F"/>
    <w:rsid w:val="001B353C"/>
    <w:rsid w:val="001B489F"/>
    <w:rsid w:val="001B69B7"/>
    <w:rsid w:val="001C02E6"/>
    <w:rsid w:val="001C21DF"/>
    <w:rsid w:val="001C233E"/>
    <w:rsid w:val="001C4F9E"/>
    <w:rsid w:val="001C5A91"/>
    <w:rsid w:val="001C5DB0"/>
    <w:rsid w:val="001C6F31"/>
    <w:rsid w:val="001D032B"/>
    <w:rsid w:val="001D0D99"/>
    <w:rsid w:val="001D1225"/>
    <w:rsid w:val="001D1343"/>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AFB"/>
    <w:rsid w:val="003C6392"/>
    <w:rsid w:val="003C681A"/>
    <w:rsid w:val="003C7010"/>
    <w:rsid w:val="003C7DAE"/>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25BB"/>
    <w:rsid w:val="00412819"/>
    <w:rsid w:val="0041337E"/>
    <w:rsid w:val="004177E3"/>
    <w:rsid w:val="004202CB"/>
    <w:rsid w:val="00420D53"/>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843"/>
    <w:rsid w:val="00676BD2"/>
    <w:rsid w:val="00677228"/>
    <w:rsid w:val="00680068"/>
    <w:rsid w:val="006801CA"/>
    <w:rsid w:val="00680B56"/>
    <w:rsid w:val="00680C92"/>
    <w:rsid w:val="00680D4C"/>
    <w:rsid w:val="00682099"/>
    <w:rsid w:val="00682746"/>
    <w:rsid w:val="00683717"/>
    <w:rsid w:val="00684132"/>
    <w:rsid w:val="006844B9"/>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CAD"/>
    <w:rsid w:val="00864A50"/>
    <w:rsid w:val="00865C11"/>
    <w:rsid w:val="00866290"/>
    <w:rsid w:val="00866978"/>
    <w:rsid w:val="00866CD7"/>
    <w:rsid w:val="00866D9F"/>
    <w:rsid w:val="00871D3C"/>
    <w:rsid w:val="00872129"/>
    <w:rsid w:val="00872D1B"/>
    <w:rsid w:val="00872DC6"/>
    <w:rsid w:val="008730BC"/>
    <w:rsid w:val="0087451E"/>
    <w:rsid w:val="00874D66"/>
    <w:rsid w:val="0087590B"/>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90"/>
    <w:rsid w:val="00894515"/>
    <w:rsid w:val="008958D8"/>
    <w:rsid w:val="00896489"/>
    <w:rsid w:val="00896FD1"/>
    <w:rsid w:val="008976A7"/>
    <w:rsid w:val="008A0E63"/>
    <w:rsid w:val="008A114F"/>
    <w:rsid w:val="008A2257"/>
    <w:rsid w:val="008A2C50"/>
    <w:rsid w:val="008A33CE"/>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3B68"/>
    <w:rsid w:val="008C5253"/>
    <w:rsid w:val="008C5686"/>
    <w:rsid w:val="008C65AC"/>
    <w:rsid w:val="008C6BFB"/>
    <w:rsid w:val="008C6D1F"/>
    <w:rsid w:val="008C7321"/>
    <w:rsid w:val="008C74DA"/>
    <w:rsid w:val="008C7C59"/>
    <w:rsid w:val="008D094A"/>
    <w:rsid w:val="008D132A"/>
    <w:rsid w:val="008D1E99"/>
    <w:rsid w:val="008D2B6E"/>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258A"/>
    <w:rsid w:val="00AF4AE5"/>
    <w:rsid w:val="00AF5D1E"/>
    <w:rsid w:val="00AF6D11"/>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77C4"/>
    <w:rsid w:val="00D80578"/>
    <w:rsid w:val="00D8102F"/>
    <w:rsid w:val="00D81AA3"/>
    <w:rsid w:val="00D81C1F"/>
    <w:rsid w:val="00D822F6"/>
    <w:rsid w:val="00D83636"/>
    <w:rsid w:val="00D8553D"/>
    <w:rsid w:val="00D85F98"/>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67B4"/>
    <w:rsid w:val="00E715FD"/>
    <w:rsid w:val="00E71601"/>
    <w:rsid w:val="00E718F8"/>
    <w:rsid w:val="00E71F11"/>
    <w:rsid w:val="00E729F5"/>
    <w:rsid w:val="00E736B3"/>
    <w:rsid w:val="00E73C8D"/>
    <w:rsid w:val="00E758D8"/>
    <w:rsid w:val="00E76BE0"/>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F5"/>
    <w:rsid w:val="00F94501"/>
    <w:rsid w:val="00F94AF9"/>
    <w:rsid w:val="00F94F1B"/>
    <w:rsid w:val="00F957AF"/>
    <w:rsid w:val="00F96174"/>
    <w:rsid w:val="00FA08E4"/>
    <w:rsid w:val="00FA1A11"/>
    <w:rsid w:val="00FA2515"/>
    <w:rsid w:val="00FA269B"/>
    <w:rsid w:val="00FA340A"/>
    <w:rsid w:val="00FA4F9B"/>
    <w:rsid w:val="00FA5DAA"/>
    <w:rsid w:val="00FA710D"/>
    <w:rsid w:val="00FB0D18"/>
    <w:rsid w:val="00FB0D71"/>
    <w:rsid w:val="00FB1517"/>
    <w:rsid w:val="00FB390F"/>
    <w:rsid w:val="00FB4712"/>
    <w:rsid w:val="00FB4E49"/>
    <w:rsid w:val="00FB582F"/>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7477"/>
  <w15:docId w15:val="{E8F470B3-A7E9-4B92-8E2E-69DAB373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78AD-64AB-4F8B-810F-EC2F5BA049BC}">
  <ds:schemaRefs>
    <ds:schemaRef ds:uri="http://schemas.openxmlformats.org/officeDocument/2006/bibliography"/>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10420</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12162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2025-07-15T07:44:00Z</dcterms:created>
  <dcterms:modified xsi:type="dcterms:W3CDTF">2025-07-15T07:44:00Z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